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A7A" w:rsidRDefault="00213A7A" w:rsidP="00213A7A">
      <w:pPr>
        <w:jc w:val="center"/>
      </w:pPr>
    </w:p>
    <w:p w:rsidR="00213A7A" w:rsidRDefault="00213A7A" w:rsidP="00213A7A">
      <w:pPr>
        <w:jc w:val="center"/>
      </w:pPr>
    </w:p>
    <w:p w:rsidR="002350AB" w:rsidRDefault="00213A7A" w:rsidP="00213A7A">
      <w:r>
        <w:rPr>
          <w:noProof/>
        </w:rPr>
        <w:drawing>
          <wp:inline distT="0" distB="0" distL="0" distR="0">
            <wp:extent cx="6204155" cy="16027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PA-horizontal-600p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47424" cy="1613918"/>
                    </a:xfrm>
                    <a:prstGeom prst="rect">
                      <a:avLst/>
                    </a:prstGeom>
                  </pic:spPr>
                </pic:pic>
              </a:graphicData>
            </a:graphic>
          </wp:inline>
        </w:drawing>
      </w:r>
    </w:p>
    <w:p w:rsidR="00213A7A" w:rsidRDefault="00213A7A" w:rsidP="00213A7A">
      <w:pPr>
        <w:jc w:val="center"/>
      </w:pPr>
    </w:p>
    <w:p w:rsidR="00213A7A" w:rsidRDefault="00213A7A" w:rsidP="00213A7A">
      <w:pPr>
        <w:jc w:val="center"/>
      </w:pPr>
    </w:p>
    <w:p w:rsidR="00213A7A" w:rsidRDefault="00213A7A" w:rsidP="00213A7A">
      <w:pPr>
        <w:jc w:val="center"/>
      </w:pPr>
    </w:p>
    <w:p w:rsidR="00213A7A" w:rsidRDefault="00213A7A" w:rsidP="00213A7A">
      <w:pPr>
        <w:jc w:val="center"/>
      </w:pPr>
    </w:p>
    <w:p w:rsidR="00213A7A" w:rsidRDefault="00213A7A" w:rsidP="00213A7A">
      <w:pPr>
        <w:jc w:val="center"/>
        <w:rPr>
          <w:rFonts w:ascii="Arial Black" w:hAnsi="Arial Black"/>
          <w:color w:val="164FA2"/>
          <w:sz w:val="56"/>
          <w:szCs w:val="56"/>
        </w:rPr>
      </w:pPr>
    </w:p>
    <w:p w:rsidR="00213A7A" w:rsidRDefault="00213A7A" w:rsidP="00213A7A">
      <w:pPr>
        <w:jc w:val="center"/>
        <w:rPr>
          <w:rFonts w:ascii="Arial Black" w:hAnsi="Arial Black"/>
          <w:color w:val="164FA2"/>
          <w:sz w:val="56"/>
          <w:szCs w:val="56"/>
        </w:rPr>
      </w:pPr>
    </w:p>
    <w:p w:rsidR="00213A7A" w:rsidRDefault="00213A7A" w:rsidP="00213A7A">
      <w:pPr>
        <w:jc w:val="center"/>
        <w:rPr>
          <w:rFonts w:ascii="Arial Black" w:hAnsi="Arial Black"/>
          <w:color w:val="164FA2"/>
          <w:sz w:val="96"/>
          <w:szCs w:val="96"/>
        </w:rPr>
      </w:pPr>
      <w:r w:rsidRPr="00213A7A">
        <w:rPr>
          <w:rFonts w:ascii="Arial Black" w:hAnsi="Arial Black"/>
          <w:color w:val="164FA2"/>
          <w:sz w:val="96"/>
          <w:szCs w:val="96"/>
        </w:rPr>
        <w:t>Find a Firm Directory</w:t>
      </w:r>
    </w:p>
    <w:p w:rsidR="00213A7A" w:rsidRDefault="00213A7A" w:rsidP="00213A7A">
      <w:pPr>
        <w:jc w:val="center"/>
        <w:rPr>
          <w:rFonts w:ascii="Arial" w:hAnsi="Arial" w:cs="Arial"/>
          <w:color w:val="164FA2"/>
          <w:sz w:val="24"/>
          <w:szCs w:val="24"/>
        </w:rPr>
      </w:pPr>
    </w:p>
    <w:p w:rsidR="00213A7A" w:rsidRDefault="00213A7A" w:rsidP="00213A7A">
      <w:pPr>
        <w:jc w:val="center"/>
        <w:rPr>
          <w:rFonts w:ascii="Arial" w:hAnsi="Arial" w:cs="Arial"/>
          <w:color w:val="164FA2"/>
          <w:sz w:val="24"/>
          <w:szCs w:val="24"/>
        </w:rPr>
      </w:pPr>
    </w:p>
    <w:p w:rsidR="00213A7A" w:rsidRDefault="00213A7A" w:rsidP="00213A7A">
      <w:pPr>
        <w:jc w:val="center"/>
        <w:rPr>
          <w:rFonts w:ascii="Arial" w:hAnsi="Arial" w:cs="Arial"/>
          <w:color w:val="164FA2"/>
          <w:sz w:val="24"/>
          <w:szCs w:val="24"/>
        </w:rPr>
      </w:pPr>
    </w:p>
    <w:p w:rsidR="00213A7A" w:rsidRDefault="00213A7A" w:rsidP="00213A7A">
      <w:pPr>
        <w:jc w:val="center"/>
        <w:rPr>
          <w:rFonts w:ascii="Arial" w:hAnsi="Arial" w:cs="Arial"/>
          <w:color w:val="164FA2"/>
          <w:sz w:val="24"/>
          <w:szCs w:val="24"/>
        </w:rPr>
      </w:pPr>
    </w:p>
    <w:p w:rsidR="00213A7A" w:rsidRDefault="00213A7A" w:rsidP="00213A7A">
      <w:pPr>
        <w:jc w:val="center"/>
        <w:rPr>
          <w:rFonts w:ascii="Arial" w:hAnsi="Arial" w:cs="Arial"/>
          <w:color w:val="164FA2"/>
          <w:sz w:val="24"/>
          <w:szCs w:val="24"/>
        </w:rPr>
      </w:pPr>
    </w:p>
    <w:p w:rsidR="00213A7A" w:rsidRDefault="00213A7A" w:rsidP="00213A7A">
      <w:pPr>
        <w:jc w:val="center"/>
        <w:rPr>
          <w:rFonts w:ascii="Arial" w:hAnsi="Arial" w:cs="Arial"/>
          <w:color w:val="164FA2"/>
          <w:sz w:val="24"/>
          <w:szCs w:val="24"/>
        </w:rPr>
      </w:pPr>
    </w:p>
    <w:p w:rsidR="00213A7A" w:rsidRDefault="00213A7A">
      <w:pPr>
        <w:rPr>
          <w:rFonts w:ascii="Arial" w:hAnsi="Arial" w:cs="Arial"/>
          <w:color w:val="164FA2"/>
          <w:sz w:val="24"/>
          <w:szCs w:val="24"/>
        </w:rPr>
      </w:pPr>
      <w:r>
        <w:rPr>
          <w:rFonts w:ascii="Arial" w:hAnsi="Arial" w:cs="Arial"/>
          <w:color w:val="164FA2"/>
          <w:sz w:val="24"/>
          <w:szCs w:val="24"/>
        </w:rPr>
        <w:br w:type="page"/>
      </w:r>
    </w:p>
    <w:p w:rsidR="00A6419C" w:rsidRDefault="00213A7A" w:rsidP="00213A7A">
      <w:pPr>
        <w:rPr>
          <w:rFonts w:ascii="Arial" w:hAnsi="Arial" w:cs="Arial"/>
          <w:color w:val="164FA2"/>
          <w:sz w:val="24"/>
          <w:szCs w:val="24"/>
        </w:rPr>
      </w:pPr>
      <w:r>
        <w:rPr>
          <w:rFonts w:ascii="Arial" w:hAnsi="Arial" w:cs="Arial"/>
          <w:color w:val="164FA2"/>
          <w:sz w:val="24"/>
          <w:szCs w:val="24"/>
        </w:rPr>
        <w:lastRenderedPageBreak/>
        <w:t>This directory is a</w:t>
      </w:r>
      <w:r w:rsidR="00A6419C">
        <w:rPr>
          <w:rFonts w:ascii="Arial" w:hAnsi="Arial" w:cs="Arial"/>
          <w:color w:val="164FA2"/>
          <w:sz w:val="24"/>
          <w:szCs w:val="24"/>
        </w:rPr>
        <w:t xml:space="preserve"> voluntary</w:t>
      </w:r>
      <w:r>
        <w:rPr>
          <w:rFonts w:ascii="Arial" w:hAnsi="Arial" w:cs="Arial"/>
          <w:color w:val="164FA2"/>
          <w:sz w:val="24"/>
          <w:szCs w:val="24"/>
        </w:rPr>
        <w:t xml:space="preserve"> listing of firms consisting of CPA members of the Delaware Society of Certified Public Accountants. Members of the Delaware Society of CPAs are required to meet licensing standards, including educational, experience and </w:t>
      </w:r>
      <w:r w:rsidR="00A6419C">
        <w:rPr>
          <w:rFonts w:ascii="Arial" w:hAnsi="Arial" w:cs="Arial"/>
          <w:color w:val="164FA2"/>
          <w:sz w:val="24"/>
          <w:szCs w:val="24"/>
        </w:rPr>
        <w:t xml:space="preserve">ethics standards. All members of the Delaware Society of CPAs voluntarily submit to ethical requirements that allow for investigations by any aggrieved individuals. </w:t>
      </w:r>
    </w:p>
    <w:p w:rsidR="00A6419C" w:rsidRDefault="00A6419C">
      <w:pPr>
        <w:rPr>
          <w:rFonts w:ascii="Arial" w:hAnsi="Arial" w:cs="Arial"/>
          <w:color w:val="164FA2"/>
          <w:sz w:val="24"/>
          <w:szCs w:val="24"/>
        </w:rPr>
      </w:pPr>
      <w:r>
        <w:rPr>
          <w:rFonts w:ascii="Arial" w:hAnsi="Arial" w:cs="Arial"/>
          <w:color w:val="164FA2"/>
          <w:sz w:val="24"/>
          <w:szCs w:val="24"/>
        </w:rPr>
        <w:br w:type="page"/>
      </w:r>
    </w:p>
    <w:p w:rsidR="00213A7A" w:rsidRDefault="00A6419C" w:rsidP="00A6419C">
      <w:pPr>
        <w:jc w:val="center"/>
        <w:rPr>
          <w:rFonts w:ascii="Arial" w:hAnsi="Arial" w:cs="Arial"/>
          <w:color w:val="164FA2"/>
          <w:sz w:val="24"/>
          <w:szCs w:val="24"/>
        </w:rPr>
      </w:pPr>
      <w:r>
        <w:rPr>
          <w:rFonts w:ascii="Arial" w:hAnsi="Arial" w:cs="Arial"/>
          <w:color w:val="164FA2"/>
          <w:sz w:val="24"/>
          <w:szCs w:val="24"/>
        </w:rPr>
        <w:lastRenderedPageBreak/>
        <w:t>Alphabetical Listing of Firms</w:t>
      </w:r>
    </w:p>
    <w:p w:rsidR="00A6419C" w:rsidRDefault="00A6419C" w:rsidP="00A6419C">
      <w:pPr>
        <w:jc w:val="center"/>
        <w:rPr>
          <w:rFonts w:ascii="Arial" w:hAnsi="Arial" w:cs="Arial"/>
          <w:color w:val="164FA2"/>
          <w:sz w:val="24"/>
          <w:szCs w:val="24"/>
        </w:rPr>
      </w:pPr>
    </w:p>
    <w:tbl>
      <w:tblPr>
        <w:tblStyle w:val="TableGrid"/>
        <w:tblpPr w:leftFromText="180" w:rightFromText="180" w:vertAnchor="text" w:horzAnchor="page" w:tblpX="2965" w:tblpY="571"/>
        <w:tblW w:w="7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2448"/>
        <w:gridCol w:w="1530"/>
        <w:gridCol w:w="1980"/>
      </w:tblGrid>
      <w:tr w:rsidR="00B918A6" w:rsidTr="00B918A6">
        <w:trPr>
          <w:gridBefore w:val="1"/>
          <w:gridAfter w:val="1"/>
          <w:wBefore w:w="1327" w:type="dxa"/>
          <w:wAfter w:w="1980" w:type="dxa"/>
        </w:trPr>
        <w:tc>
          <w:tcPr>
            <w:tcW w:w="3978" w:type="dxa"/>
            <w:gridSpan w:val="2"/>
          </w:tcPr>
          <w:p w:rsidR="00B918A6" w:rsidRPr="00A6419C" w:rsidRDefault="00B918A6" w:rsidP="00B918A6">
            <w:pPr>
              <w:rPr>
                <w:rFonts w:ascii="Arial" w:hAnsi="Arial" w:cs="Arial"/>
                <w:color w:val="164FA2"/>
                <w:sz w:val="24"/>
                <w:szCs w:val="24"/>
              </w:rPr>
            </w:pPr>
            <w:proofErr w:type="spellStart"/>
            <w:r w:rsidRPr="00A6419C">
              <w:rPr>
                <w:rFonts w:ascii="Arial" w:hAnsi="Arial" w:cs="Arial"/>
                <w:color w:val="164FA2"/>
                <w:sz w:val="24"/>
                <w:szCs w:val="24"/>
              </w:rPr>
              <w:t>Gunnip</w:t>
            </w:r>
            <w:proofErr w:type="spellEnd"/>
            <w:r w:rsidRPr="00A6419C">
              <w:rPr>
                <w:rFonts w:ascii="Arial" w:hAnsi="Arial" w:cs="Arial"/>
                <w:color w:val="164FA2"/>
                <w:sz w:val="24"/>
                <w:szCs w:val="24"/>
              </w:rPr>
              <w:t xml:space="preserve"> &amp; Company LLC</w:t>
            </w:r>
          </w:p>
          <w:p w:rsidR="00B918A6" w:rsidRPr="00A6419C" w:rsidRDefault="00B918A6" w:rsidP="00B918A6">
            <w:pPr>
              <w:rPr>
                <w:rFonts w:ascii="Arial" w:hAnsi="Arial" w:cs="Arial"/>
                <w:color w:val="000000" w:themeColor="text1"/>
                <w:spacing w:val="3"/>
                <w:shd w:val="clear" w:color="auto" w:fill="FFFFFF"/>
              </w:rPr>
            </w:pPr>
            <w:r w:rsidRPr="00A6419C">
              <w:rPr>
                <w:rFonts w:ascii="Arial" w:hAnsi="Arial" w:cs="Arial"/>
                <w:color w:val="000000" w:themeColor="text1"/>
                <w:spacing w:val="3"/>
                <w:shd w:val="clear" w:color="auto" w:fill="FFFFFF"/>
              </w:rPr>
              <w:t>2751 Centerville Road, Suite 300</w:t>
            </w:r>
          </w:p>
          <w:p w:rsidR="00B918A6" w:rsidRPr="00A6419C" w:rsidRDefault="00B918A6" w:rsidP="00B918A6">
            <w:pPr>
              <w:rPr>
                <w:rFonts w:ascii="Arial" w:hAnsi="Arial" w:cs="Arial"/>
                <w:color w:val="000000" w:themeColor="text1"/>
                <w:spacing w:val="3"/>
                <w:shd w:val="clear" w:color="auto" w:fill="FFFFFF"/>
              </w:rPr>
            </w:pPr>
            <w:r w:rsidRPr="00A6419C">
              <w:rPr>
                <w:rFonts w:ascii="Arial" w:hAnsi="Arial" w:cs="Arial"/>
                <w:color w:val="000000" w:themeColor="text1"/>
                <w:spacing w:val="3"/>
                <w:shd w:val="clear" w:color="auto" w:fill="FFFFFF"/>
              </w:rPr>
              <w:t>Wilmington, DE 19808</w:t>
            </w:r>
          </w:p>
          <w:p w:rsidR="00B918A6" w:rsidRPr="00A6419C" w:rsidRDefault="00B918A6" w:rsidP="00B918A6">
            <w:pPr>
              <w:rPr>
                <w:rFonts w:ascii="Arial" w:hAnsi="Arial" w:cs="Arial"/>
                <w:color w:val="202124"/>
                <w:spacing w:val="3"/>
                <w:shd w:val="clear" w:color="auto" w:fill="FFFFFF"/>
              </w:rPr>
            </w:pPr>
            <w:r w:rsidRPr="00A6419C">
              <w:rPr>
                <w:rFonts w:ascii="Arial" w:hAnsi="Arial" w:cs="Arial"/>
                <w:color w:val="000000" w:themeColor="text1"/>
                <w:spacing w:val="3"/>
                <w:shd w:val="clear" w:color="auto" w:fill="FFFFFF"/>
              </w:rPr>
              <w:t xml:space="preserve">Phone </w:t>
            </w:r>
            <w:r w:rsidRPr="00A6419C">
              <w:rPr>
                <w:rFonts w:ascii="Arial" w:hAnsi="Arial" w:cs="Arial"/>
                <w:color w:val="202124"/>
                <w:spacing w:val="3"/>
                <w:shd w:val="clear" w:color="auto" w:fill="FFFFFF"/>
              </w:rPr>
              <w:t>302-563-6031</w:t>
            </w:r>
          </w:p>
          <w:p w:rsidR="00B918A6" w:rsidRPr="00A6419C" w:rsidRDefault="00B918A6" w:rsidP="00B918A6">
            <w:pPr>
              <w:rPr>
                <w:rFonts w:ascii="Arial" w:hAnsi="Arial" w:cs="Arial"/>
                <w:color w:val="202124"/>
                <w:spacing w:val="3"/>
                <w:shd w:val="clear" w:color="auto" w:fill="FFFFFF"/>
              </w:rPr>
            </w:pPr>
            <w:hyperlink r:id="rId5" w:history="1">
              <w:r w:rsidRPr="00A6419C">
                <w:rPr>
                  <w:rStyle w:val="Hyperlink"/>
                  <w:rFonts w:ascii="Arial" w:hAnsi="Arial" w:cs="Arial"/>
                  <w:spacing w:val="3"/>
                  <w:shd w:val="clear" w:color="auto" w:fill="FFFFFF"/>
                </w:rPr>
                <w:t>www.Gunnip.com</w:t>
              </w:r>
            </w:hyperlink>
          </w:p>
          <w:p w:rsidR="00B918A6" w:rsidRPr="00A6419C" w:rsidRDefault="00B918A6" w:rsidP="00B918A6">
            <w:pPr>
              <w:rPr>
                <w:rFonts w:ascii="Arial" w:hAnsi="Arial" w:cs="Arial"/>
                <w:color w:val="202124"/>
                <w:spacing w:val="3"/>
                <w:shd w:val="clear" w:color="auto" w:fill="FFFFFF"/>
              </w:rPr>
            </w:pPr>
            <w:r w:rsidRPr="00A6419C">
              <w:rPr>
                <w:rFonts w:ascii="Arial" w:hAnsi="Arial" w:cs="Arial"/>
                <w:color w:val="202124"/>
                <w:spacing w:val="3"/>
                <w:shd w:val="clear" w:color="auto" w:fill="FFFFFF"/>
              </w:rPr>
              <w:t xml:space="preserve">Email </w:t>
            </w:r>
            <w:hyperlink r:id="rId6" w:history="1">
              <w:r w:rsidRPr="00A6419C">
                <w:rPr>
                  <w:rStyle w:val="Hyperlink"/>
                  <w:rFonts w:ascii="Arial" w:hAnsi="Arial" w:cs="Arial"/>
                  <w:spacing w:val="3"/>
                  <w:shd w:val="clear" w:color="auto" w:fill="FFFFFF"/>
                </w:rPr>
                <w:t>ksilicato@gunnip.com</w:t>
              </w:r>
            </w:hyperlink>
          </w:p>
          <w:p w:rsidR="00B918A6" w:rsidRDefault="00B918A6" w:rsidP="00B918A6">
            <w:pPr>
              <w:rPr>
                <w:rFonts w:ascii="Arial" w:hAnsi="Arial" w:cs="Arial"/>
                <w:color w:val="202124"/>
                <w:spacing w:val="3"/>
                <w:shd w:val="clear" w:color="auto" w:fill="FFFFFF"/>
              </w:rPr>
            </w:pPr>
            <w:r w:rsidRPr="00A6419C">
              <w:rPr>
                <w:rFonts w:ascii="Arial" w:hAnsi="Arial" w:cs="Arial"/>
                <w:color w:val="202124"/>
                <w:spacing w:val="3"/>
                <w:shd w:val="clear" w:color="auto" w:fill="FFFFFF"/>
              </w:rPr>
              <w:t>Firm Size Over 20</w:t>
            </w:r>
          </w:p>
          <w:p w:rsidR="00B918A6" w:rsidRPr="00A6419C" w:rsidRDefault="00B918A6" w:rsidP="00B918A6">
            <w:pPr>
              <w:rPr>
                <w:rFonts w:ascii="Arial" w:hAnsi="Arial" w:cs="Arial"/>
              </w:rPr>
            </w:pPr>
          </w:p>
        </w:tc>
      </w:tr>
      <w:tr w:rsidR="00B918A6" w:rsidTr="00B918A6">
        <w:tc>
          <w:tcPr>
            <w:tcW w:w="7285" w:type="dxa"/>
            <w:gridSpan w:val="4"/>
          </w:tcPr>
          <w:p w:rsidR="00B918A6" w:rsidRPr="0052489B" w:rsidRDefault="00B918A6" w:rsidP="00B918A6">
            <w:pPr>
              <w:jc w:val="center"/>
              <w:rPr>
                <w:rFonts w:ascii="Arial" w:hAnsi="Arial" w:cs="Arial"/>
              </w:rPr>
            </w:pPr>
            <w:r w:rsidRPr="0052489B">
              <w:rPr>
                <w:rFonts w:ascii="Arial" w:hAnsi="Arial" w:cs="Arial"/>
                <w:color w:val="164FA2"/>
              </w:rPr>
              <w:t>Areas of Practice</w:t>
            </w:r>
          </w:p>
        </w:tc>
      </w:tr>
      <w:tr w:rsidR="00B918A6" w:rsidTr="00B918A6">
        <w:tc>
          <w:tcPr>
            <w:tcW w:w="3775" w:type="dxa"/>
            <w:gridSpan w:val="2"/>
          </w:tcPr>
          <w:p w:rsidR="00B918A6" w:rsidRDefault="00B918A6" w:rsidP="00B918A6">
            <w:pPr>
              <w:rPr>
                <w:rFonts w:ascii="Arial" w:hAnsi="Arial" w:cs="Arial"/>
              </w:rPr>
            </w:pPr>
            <w:r w:rsidRPr="00A6419C">
              <w:rPr>
                <w:rFonts w:ascii="Arial" w:hAnsi="Arial" w:cs="Arial"/>
              </w:rPr>
              <w:t>Accounting</w:t>
            </w:r>
          </w:p>
          <w:p w:rsidR="00B918A6" w:rsidRDefault="00B918A6" w:rsidP="00B918A6">
            <w:pPr>
              <w:rPr>
                <w:rFonts w:ascii="Arial" w:hAnsi="Arial" w:cs="Arial"/>
              </w:rPr>
            </w:pPr>
            <w:r>
              <w:rPr>
                <w:rFonts w:ascii="Arial" w:hAnsi="Arial" w:cs="Arial"/>
              </w:rPr>
              <w:t>Auditing</w:t>
            </w:r>
          </w:p>
          <w:p w:rsidR="00B918A6" w:rsidRDefault="00B918A6" w:rsidP="00B918A6">
            <w:pPr>
              <w:rPr>
                <w:rFonts w:ascii="Arial" w:hAnsi="Arial" w:cs="Arial"/>
              </w:rPr>
            </w:pPr>
            <w:r>
              <w:rPr>
                <w:rFonts w:ascii="Arial" w:hAnsi="Arial" w:cs="Arial"/>
              </w:rPr>
              <w:t>Bookkeeping</w:t>
            </w:r>
          </w:p>
          <w:p w:rsidR="00B918A6" w:rsidRDefault="00B918A6" w:rsidP="00B918A6">
            <w:pPr>
              <w:rPr>
                <w:rFonts w:ascii="Arial" w:hAnsi="Arial" w:cs="Arial"/>
              </w:rPr>
            </w:pPr>
            <w:r>
              <w:rPr>
                <w:rFonts w:ascii="Arial" w:hAnsi="Arial" w:cs="Arial"/>
              </w:rPr>
              <w:t>Business Valuation</w:t>
            </w:r>
          </w:p>
          <w:p w:rsidR="00B918A6" w:rsidRDefault="00B918A6" w:rsidP="00B918A6">
            <w:pPr>
              <w:rPr>
                <w:rFonts w:ascii="Arial" w:hAnsi="Arial" w:cs="Arial"/>
              </w:rPr>
            </w:pPr>
            <w:r>
              <w:rPr>
                <w:rFonts w:ascii="Arial" w:hAnsi="Arial" w:cs="Arial"/>
              </w:rPr>
              <w:t>Closely Held Business</w:t>
            </w:r>
          </w:p>
          <w:p w:rsidR="00B918A6" w:rsidRDefault="00B918A6" w:rsidP="00B918A6">
            <w:pPr>
              <w:rPr>
                <w:rFonts w:ascii="Arial" w:hAnsi="Arial" w:cs="Arial"/>
              </w:rPr>
            </w:pPr>
            <w:r>
              <w:rPr>
                <w:rFonts w:ascii="Arial" w:hAnsi="Arial" w:cs="Arial"/>
              </w:rPr>
              <w:t>Consulting</w:t>
            </w:r>
          </w:p>
          <w:p w:rsidR="00B918A6" w:rsidRDefault="00B918A6" w:rsidP="00B918A6">
            <w:pPr>
              <w:rPr>
                <w:rFonts w:ascii="Arial" w:hAnsi="Arial" w:cs="Arial"/>
              </w:rPr>
            </w:pPr>
            <w:r>
              <w:rPr>
                <w:rFonts w:ascii="Arial" w:hAnsi="Arial" w:cs="Arial"/>
              </w:rPr>
              <w:t>Corporate Tax</w:t>
            </w:r>
          </w:p>
          <w:p w:rsidR="00B918A6" w:rsidRDefault="00B918A6" w:rsidP="00B918A6">
            <w:pPr>
              <w:rPr>
                <w:rFonts w:ascii="Arial" w:hAnsi="Arial" w:cs="Arial"/>
              </w:rPr>
            </w:pPr>
            <w:r>
              <w:rPr>
                <w:rFonts w:ascii="Arial" w:hAnsi="Arial" w:cs="Arial"/>
              </w:rPr>
              <w:t>Employee Benefit Plans</w:t>
            </w:r>
          </w:p>
          <w:p w:rsidR="00B918A6" w:rsidRDefault="00B918A6" w:rsidP="00B918A6">
            <w:pPr>
              <w:rPr>
                <w:rFonts w:ascii="Arial" w:hAnsi="Arial" w:cs="Arial"/>
              </w:rPr>
            </w:pPr>
            <w:r>
              <w:rPr>
                <w:rFonts w:ascii="Arial" w:hAnsi="Arial" w:cs="Arial"/>
              </w:rPr>
              <w:t>Estate Trust and Gift Tax</w:t>
            </w:r>
          </w:p>
          <w:p w:rsidR="00B918A6" w:rsidRDefault="00B918A6" w:rsidP="00B918A6">
            <w:pPr>
              <w:rPr>
                <w:rFonts w:ascii="Arial" w:hAnsi="Arial" w:cs="Arial"/>
                <w:color w:val="164FA2"/>
                <w:sz w:val="24"/>
                <w:szCs w:val="24"/>
              </w:rPr>
            </w:pPr>
          </w:p>
        </w:tc>
        <w:tc>
          <w:tcPr>
            <w:tcW w:w="3510" w:type="dxa"/>
            <w:gridSpan w:val="2"/>
          </w:tcPr>
          <w:p w:rsidR="00B918A6" w:rsidRPr="0052489B" w:rsidRDefault="00B918A6" w:rsidP="00B918A6">
            <w:pPr>
              <w:rPr>
                <w:rFonts w:ascii="Arial" w:hAnsi="Arial" w:cs="Arial"/>
              </w:rPr>
            </w:pPr>
            <w:r w:rsidRPr="0052489B">
              <w:rPr>
                <w:rFonts w:ascii="Arial" w:hAnsi="Arial" w:cs="Arial"/>
              </w:rPr>
              <w:t>Fiduciary/Trust Tax</w:t>
            </w:r>
          </w:p>
          <w:p w:rsidR="00B918A6" w:rsidRPr="0052489B" w:rsidRDefault="00B918A6" w:rsidP="00B918A6">
            <w:pPr>
              <w:rPr>
                <w:rFonts w:ascii="Arial" w:hAnsi="Arial" w:cs="Arial"/>
              </w:rPr>
            </w:pPr>
            <w:r w:rsidRPr="0052489B">
              <w:rPr>
                <w:rFonts w:ascii="Arial" w:hAnsi="Arial" w:cs="Arial"/>
              </w:rPr>
              <w:t>Financial and Estate Planning</w:t>
            </w:r>
          </w:p>
          <w:p w:rsidR="00B918A6" w:rsidRPr="0052489B" w:rsidRDefault="00B918A6" w:rsidP="00B918A6">
            <w:pPr>
              <w:rPr>
                <w:rFonts w:ascii="Arial" w:hAnsi="Arial" w:cs="Arial"/>
              </w:rPr>
            </w:pPr>
            <w:r w:rsidRPr="0052489B">
              <w:rPr>
                <w:rFonts w:ascii="Arial" w:hAnsi="Arial" w:cs="Arial"/>
              </w:rPr>
              <w:t>Financial Services</w:t>
            </w:r>
            <w:r w:rsidRPr="0052489B">
              <w:rPr>
                <w:rFonts w:ascii="Arial" w:hAnsi="Arial" w:cs="Arial"/>
              </w:rPr>
              <w:br/>
              <w:t>Individual Tax</w:t>
            </w:r>
          </w:p>
          <w:p w:rsidR="00B918A6" w:rsidRPr="0052489B" w:rsidRDefault="00B918A6" w:rsidP="00B918A6">
            <w:pPr>
              <w:rPr>
                <w:rFonts w:ascii="Arial" w:hAnsi="Arial" w:cs="Arial"/>
              </w:rPr>
            </w:pPr>
            <w:r w:rsidRPr="0052489B">
              <w:rPr>
                <w:rFonts w:ascii="Arial" w:hAnsi="Arial" w:cs="Arial"/>
              </w:rPr>
              <w:t>IRS Representation</w:t>
            </w:r>
          </w:p>
          <w:p w:rsidR="00B918A6" w:rsidRPr="0052489B" w:rsidRDefault="00B918A6" w:rsidP="00B918A6">
            <w:pPr>
              <w:rPr>
                <w:rFonts w:ascii="Arial" w:hAnsi="Arial" w:cs="Arial"/>
              </w:rPr>
            </w:pPr>
            <w:r w:rsidRPr="0052489B">
              <w:rPr>
                <w:rFonts w:ascii="Arial" w:hAnsi="Arial" w:cs="Arial"/>
              </w:rPr>
              <w:t>Limited Liability Partnerships</w:t>
            </w:r>
          </w:p>
          <w:p w:rsidR="00B918A6" w:rsidRPr="0052489B" w:rsidRDefault="00B918A6" w:rsidP="00B918A6">
            <w:pPr>
              <w:rPr>
                <w:rFonts w:ascii="Arial" w:hAnsi="Arial" w:cs="Arial"/>
              </w:rPr>
            </w:pPr>
            <w:r w:rsidRPr="0052489B">
              <w:rPr>
                <w:rFonts w:ascii="Arial" w:hAnsi="Arial" w:cs="Arial"/>
              </w:rPr>
              <w:t>Reviews and Compilations</w:t>
            </w:r>
          </w:p>
          <w:p w:rsidR="00B918A6" w:rsidRPr="0052489B" w:rsidRDefault="00B918A6" w:rsidP="00B918A6">
            <w:pPr>
              <w:rPr>
                <w:rFonts w:ascii="Arial" w:hAnsi="Arial" w:cs="Arial"/>
              </w:rPr>
            </w:pPr>
            <w:r w:rsidRPr="0052489B">
              <w:rPr>
                <w:rFonts w:ascii="Arial" w:hAnsi="Arial" w:cs="Arial"/>
              </w:rPr>
              <w:t>Sub Chapter S Corps</w:t>
            </w:r>
          </w:p>
          <w:p w:rsidR="00B918A6" w:rsidRPr="00A6419C" w:rsidRDefault="00B918A6" w:rsidP="00B918A6">
            <w:pPr>
              <w:rPr>
                <w:rFonts w:ascii="Arial" w:hAnsi="Arial" w:cs="Arial"/>
                <w:sz w:val="24"/>
                <w:szCs w:val="24"/>
              </w:rPr>
            </w:pPr>
            <w:r w:rsidRPr="0052489B">
              <w:rPr>
                <w:rFonts w:ascii="Arial" w:hAnsi="Arial" w:cs="Arial"/>
              </w:rPr>
              <w:t>Tax Planning</w:t>
            </w:r>
          </w:p>
        </w:tc>
      </w:tr>
    </w:tbl>
    <w:p w:rsidR="00A6419C" w:rsidRPr="00213A7A" w:rsidRDefault="00A6419C" w:rsidP="00A6419C">
      <w:pPr>
        <w:rPr>
          <w:rFonts w:ascii="Arial" w:hAnsi="Arial" w:cs="Arial"/>
          <w:color w:val="164FA2"/>
          <w:sz w:val="24"/>
          <w:szCs w:val="24"/>
        </w:rPr>
      </w:pPr>
      <w:bookmarkStart w:id="0" w:name="_GoBack"/>
      <w:bookmarkEnd w:id="0"/>
    </w:p>
    <w:sectPr w:rsidR="00A6419C" w:rsidRPr="00213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7A"/>
    <w:rsid w:val="00213A7A"/>
    <w:rsid w:val="002350AB"/>
    <w:rsid w:val="0052489B"/>
    <w:rsid w:val="00A6419C"/>
    <w:rsid w:val="00B9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3504"/>
  <w15:chartTrackingRefBased/>
  <w15:docId w15:val="{DE120B79-0424-4A36-96DE-6E15EEC3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41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silicato@gunnip.com" TargetMode="External"/><Relationship Id="rId5" Type="http://schemas.openxmlformats.org/officeDocument/2006/relationships/hyperlink" Target="http://www.Gunnip.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2025-12-14T13:58:00Z</dcterms:created>
  <dcterms:modified xsi:type="dcterms:W3CDTF">2025-12-15T14:23:00Z</dcterms:modified>
</cp:coreProperties>
</file>